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F80" w:rsidRDefault="00D35F80" w:rsidP="00D35F80">
      <w:pPr>
        <w:spacing w:after="0"/>
        <w:jc w:val="center"/>
      </w:pPr>
      <w:r>
        <w:rPr>
          <w:noProof/>
        </w:rPr>
        <w:drawing>
          <wp:inline distT="0" distB="0" distL="0" distR="0">
            <wp:extent cx="993228" cy="993228"/>
            <wp:effectExtent l="19050" t="0" r="0" b="0"/>
            <wp:docPr id="2" name="Picture 1" descr="C:\Users\TKMOLDLAB5\Desktop\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MOLDLAB5\Desktop\emblem.jpg"/>
                    <pic:cNvPicPr>
                      <a:picLocks noChangeAspect="1" noChangeArrowheads="1"/>
                    </pic:cNvPicPr>
                  </pic:nvPicPr>
                  <pic:blipFill>
                    <a:blip r:embed="rId5"/>
                    <a:srcRect/>
                    <a:stretch>
                      <a:fillRect/>
                    </a:stretch>
                  </pic:blipFill>
                  <pic:spPr bwMode="auto">
                    <a:xfrm>
                      <a:off x="0" y="0"/>
                      <a:ext cx="997759" cy="997759"/>
                    </a:xfrm>
                    <a:prstGeom prst="rect">
                      <a:avLst/>
                    </a:prstGeom>
                    <a:noFill/>
                    <a:ln w="9525">
                      <a:noFill/>
                      <a:miter lim="800000"/>
                      <a:headEnd/>
                      <a:tailEnd/>
                    </a:ln>
                  </pic:spPr>
                </pic:pic>
              </a:graphicData>
            </a:graphic>
          </wp:inline>
        </w:drawing>
      </w:r>
    </w:p>
    <w:p w:rsidR="00D35F80" w:rsidRPr="003E6992" w:rsidRDefault="00D35F80" w:rsidP="00D35F80">
      <w:pPr>
        <w:spacing w:after="0"/>
        <w:jc w:val="center"/>
        <w:rPr>
          <w:rFonts w:ascii="Century Gothic" w:hAnsi="Century Gothic"/>
          <w:b/>
          <w:color w:val="000099"/>
          <w:sz w:val="44"/>
          <w:szCs w:val="52"/>
        </w:rPr>
      </w:pPr>
      <w:r w:rsidRPr="003E6992">
        <w:rPr>
          <w:rFonts w:ascii="Century Gothic" w:hAnsi="Century Gothic"/>
          <w:b/>
          <w:color w:val="000099"/>
          <w:sz w:val="44"/>
          <w:szCs w:val="52"/>
        </w:rPr>
        <w:t>T.K.M. COLLEGE OF ARTS AND SCIENCE</w:t>
      </w:r>
    </w:p>
    <w:p w:rsidR="00D35F80" w:rsidRPr="003E6992" w:rsidRDefault="00D35F80" w:rsidP="00D35F80">
      <w:pPr>
        <w:spacing w:after="0"/>
        <w:jc w:val="center"/>
        <w:rPr>
          <w:rFonts w:ascii="Century Gothic" w:hAnsi="Century Gothic"/>
          <w:color w:val="000099"/>
          <w:sz w:val="32"/>
          <w:szCs w:val="44"/>
        </w:rPr>
      </w:pPr>
      <w:r w:rsidRPr="003E6992">
        <w:rPr>
          <w:rFonts w:ascii="Century Gothic" w:hAnsi="Century Gothic"/>
          <w:color w:val="000099"/>
          <w:sz w:val="32"/>
          <w:szCs w:val="44"/>
        </w:rPr>
        <w:t xml:space="preserve">Kollam – 5, Kerala </w:t>
      </w:r>
    </w:p>
    <w:p w:rsidR="00D35F80" w:rsidRPr="00784AF2" w:rsidRDefault="00D35F80" w:rsidP="00784AF2">
      <w:pPr>
        <w:pBdr>
          <w:bottom w:val="single" w:sz="4" w:space="1" w:color="auto"/>
        </w:pBdr>
        <w:spacing w:after="0"/>
        <w:jc w:val="center"/>
        <w:rPr>
          <w:rFonts w:ascii="Century Gothic" w:hAnsi="Century Gothic"/>
          <w:color w:val="0033CC"/>
          <w:szCs w:val="28"/>
        </w:rPr>
      </w:pPr>
      <w:r w:rsidRPr="003E6992">
        <w:rPr>
          <w:rFonts w:ascii="Century Gothic" w:hAnsi="Century Gothic"/>
          <w:color w:val="0033CC"/>
          <w:szCs w:val="28"/>
        </w:rPr>
        <w:t>www.tkmcas.ac.in; tkmarts@gmail.com</w:t>
      </w:r>
    </w:p>
    <w:p w:rsidR="00D35F80" w:rsidRPr="007E2A8F" w:rsidRDefault="00D35F80" w:rsidP="00D35F80">
      <w:pPr>
        <w:spacing w:after="0"/>
        <w:jc w:val="center"/>
        <w:rPr>
          <w:rFonts w:asciiTheme="majorHAnsi" w:hAnsiTheme="majorHAnsi" w:cs="Tahoma"/>
          <w:b/>
          <w:color w:val="333333"/>
          <w:sz w:val="28"/>
          <w:szCs w:val="28"/>
          <w:shd w:val="clear" w:color="auto" w:fill="FFFFFF"/>
        </w:rPr>
      </w:pPr>
    </w:p>
    <w:p w:rsidR="00D35F80" w:rsidRDefault="00D35F80" w:rsidP="00D35F80">
      <w:pPr>
        <w:spacing w:after="0"/>
        <w:jc w:val="center"/>
        <w:rPr>
          <w:rFonts w:asciiTheme="majorHAnsi" w:hAnsiTheme="majorHAnsi"/>
          <w:b/>
          <w:bCs/>
          <w:sz w:val="28"/>
          <w:szCs w:val="28"/>
        </w:rPr>
      </w:pPr>
      <w:r w:rsidRPr="00D35F80">
        <w:rPr>
          <w:rFonts w:asciiTheme="majorHAnsi" w:hAnsiTheme="majorHAnsi" w:cs="Tahoma"/>
          <w:b/>
          <w:bCs/>
          <w:i/>
          <w:color w:val="333333"/>
          <w:sz w:val="28"/>
          <w:szCs w:val="28"/>
          <w:shd w:val="clear" w:color="auto" w:fill="FFFFFF"/>
        </w:rPr>
        <w:t>6.2.1 - The institutional Strategic/ perspective plan is effectively deployed </w:t>
      </w:r>
    </w:p>
    <w:p w:rsidR="00D35F80" w:rsidRDefault="00D35F80" w:rsidP="00D35F80">
      <w:pPr>
        <w:spacing w:after="0"/>
        <w:jc w:val="center"/>
        <w:rPr>
          <w:rFonts w:asciiTheme="majorHAnsi" w:hAnsiTheme="majorHAnsi" w:cs="Tahoma"/>
          <w:b/>
          <w:color w:val="333333"/>
          <w:sz w:val="28"/>
          <w:szCs w:val="28"/>
          <w:shd w:val="clear" w:color="auto" w:fill="FFFFFF"/>
        </w:rPr>
      </w:pPr>
    </w:p>
    <w:p w:rsidR="00CA13C0" w:rsidRPr="00CA13C0" w:rsidRDefault="00CA13C0" w:rsidP="00CA13C0">
      <w:pPr>
        <w:spacing w:after="0" w:line="360" w:lineRule="auto"/>
        <w:jc w:val="both"/>
        <w:rPr>
          <w:rFonts w:asciiTheme="majorHAnsi" w:hAnsiTheme="majorHAnsi"/>
          <w:color w:val="000000"/>
          <w:sz w:val="24"/>
          <w:szCs w:val="24"/>
        </w:rPr>
      </w:pPr>
      <w:r w:rsidRPr="00CA13C0">
        <w:rPr>
          <w:rFonts w:asciiTheme="majorHAnsi" w:hAnsiTheme="majorHAnsi"/>
          <w:b/>
          <w:bCs/>
          <w:color w:val="000000"/>
          <w:sz w:val="24"/>
          <w:szCs w:val="24"/>
        </w:rPr>
        <w:t>Enhancing Institutional Effectiveness: A Comprehensive Overview</w:t>
      </w:r>
    </w:p>
    <w:p w:rsidR="00CA13C0" w:rsidRPr="00CA13C0" w:rsidRDefault="00CA13C0" w:rsidP="00CA13C0">
      <w:pPr>
        <w:spacing w:after="0" w:line="360" w:lineRule="auto"/>
        <w:jc w:val="both"/>
        <w:rPr>
          <w:rFonts w:asciiTheme="majorHAnsi" w:hAnsiTheme="majorHAnsi"/>
          <w:color w:val="000000"/>
          <w:sz w:val="24"/>
          <w:szCs w:val="24"/>
        </w:rPr>
      </w:pPr>
      <w:r w:rsidRPr="00CA13C0">
        <w:rPr>
          <w:rFonts w:asciiTheme="majorHAnsi" w:hAnsiTheme="majorHAnsi"/>
          <w:color w:val="000000"/>
          <w:sz w:val="24"/>
          <w:szCs w:val="24"/>
        </w:rPr>
        <w:t>In our relentless pursuit of academic excellence and institutional advancement, the strategic vision of our institution has been not only articulated but effectively implemented through a meticulous deployment strategy. As we delve into the transformative journey that has unfolded, it becomes evident that a myriad of measures has been meticulously adopted to bring the 10-Point Strategic Plan to fruition.</w:t>
      </w:r>
    </w:p>
    <w:p w:rsidR="00CA13C0" w:rsidRPr="00CA13C0" w:rsidRDefault="00CA13C0" w:rsidP="00CA13C0">
      <w:pPr>
        <w:pStyle w:val="ListParagraph"/>
        <w:numPr>
          <w:ilvl w:val="0"/>
          <w:numId w:val="3"/>
        </w:numPr>
        <w:spacing w:after="0" w:line="360" w:lineRule="auto"/>
        <w:jc w:val="both"/>
        <w:rPr>
          <w:rFonts w:asciiTheme="majorHAnsi" w:hAnsiTheme="majorHAnsi"/>
          <w:color w:val="000000"/>
          <w:sz w:val="24"/>
          <w:szCs w:val="24"/>
        </w:rPr>
      </w:pPr>
      <w:r w:rsidRPr="00CA13C0">
        <w:rPr>
          <w:rFonts w:asciiTheme="majorHAnsi" w:hAnsiTheme="majorHAnsi"/>
          <w:b/>
          <w:bCs/>
          <w:color w:val="000000"/>
          <w:sz w:val="24"/>
          <w:szCs w:val="24"/>
        </w:rPr>
        <w:t>Empowering Through Education:</w:t>
      </w:r>
      <w:r w:rsidRPr="00CA13C0">
        <w:rPr>
          <w:rFonts w:asciiTheme="majorHAnsi" w:hAnsiTheme="majorHAnsi"/>
          <w:color w:val="000000"/>
          <w:sz w:val="24"/>
          <w:szCs w:val="24"/>
        </w:rPr>
        <w:t xml:space="preserve"> </w:t>
      </w:r>
      <w:r w:rsidR="00CF0871" w:rsidRPr="00CF0871">
        <w:rPr>
          <w:rFonts w:asciiTheme="majorHAnsi" w:hAnsiTheme="majorHAnsi"/>
          <w:color w:val="000000"/>
          <w:sz w:val="24"/>
          <w:szCs w:val="24"/>
        </w:rPr>
        <w:t>Over the past few years, our departments have taken significant strides in enriching the academic landscape by expanding the range of certificate courses offered.</w:t>
      </w:r>
      <w:r w:rsidR="00CF0871">
        <w:rPr>
          <w:rFonts w:asciiTheme="majorHAnsi" w:hAnsiTheme="majorHAnsi"/>
          <w:color w:val="000000"/>
          <w:sz w:val="24"/>
          <w:szCs w:val="24"/>
        </w:rPr>
        <w:t xml:space="preserve"> </w:t>
      </w:r>
      <w:r w:rsidRPr="00CA13C0">
        <w:rPr>
          <w:rFonts w:asciiTheme="majorHAnsi" w:hAnsiTheme="majorHAnsi"/>
          <w:color w:val="000000"/>
          <w:sz w:val="24"/>
          <w:szCs w:val="24"/>
        </w:rPr>
        <w:t>A paramount focus has been placed on bolstering employability and fostering industry readiness among our students. Through a concerted effort, our faculty has seamlessly transitioned from traditional classroom settings to the dynamic realm of online teaching. The Institutional Quality Assurance Cell (IQAC) spearheaded Faculty Development Programmes, nurturing educators in the realm of online educational resources and platforms. Concurrently, faculty-led and student-led ICT workshops have been instrumental in acquainting our academic community with cutting-edge tools such as Moodle, Google Classroom, Quizziz, Webex, Zoom, and Microsoft Teams.</w:t>
      </w:r>
    </w:p>
    <w:p w:rsidR="00CA13C0" w:rsidRPr="00CA13C0" w:rsidRDefault="00CA13C0" w:rsidP="00CA13C0">
      <w:pPr>
        <w:pStyle w:val="ListParagraph"/>
        <w:numPr>
          <w:ilvl w:val="0"/>
          <w:numId w:val="3"/>
        </w:numPr>
        <w:spacing w:after="0" w:line="360" w:lineRule="auto"/>
        <w:jc w:val="both"/>
        <w:rPr>
          <w:rFonts w:asciiTheme="majorHAnsi" w:hAnsiTheme="majorHAnsi"/>
          <w:color w:val="000000"/>
          <w:sz w:val="24"/>
          <w:szCs w:val="24"/>
        </w:rPr>
      </w:pPr>
      <w:r w:rsidRPr="00CA13C0">
        <w:rPr>
          <w:rFonts w:asciiTheme="majorHAnsi" w:hAnsiTheme="majorHAnsi"/>
          <w:b/>
          <w:bCs/>
          <w:color w:val="000000"/>
          <w:sz w:val="24"/>
          <w:szCs w:val="24"/>
        </w:rPr>
        <w:t>Forging Pathways Through Collaboration:</w:t>
      </w:r>
      <w:r w:rsidRPr="00CA13C0">
        <w:rPr>
          <w:rFonts w:asciiTheme="majorHAnsi" w:hAnsiTheme="majorHAnsi"/>
          <w:color w:val="000000"/>
          <w:sz w:val="24"/>
          <w:szCs w:val="24"/>
        </w:rPr>
        <w:t xml:space="preserve"> In a bid to broaden our horizons and enrich the academic discourse, strategic alliances have been forged with eminent institutions, setting the stage for collaborative ventures. These Memorandums of </w:t>
      </w:r>
      <w:r w:rsidRPr="00CA13C0">
        <w:rPr>
          <w:rFonts w:asciiTheme="majorHAnsi" w:hAnsiTheme="majorHAnsi"/>
          <w:color w:val="000000"/>
          <w:sz w:val="24"/>
          <w:szCs w:val="24"/>
        </w:rPr>
        <w:lastRenderedPageBreak/>
        <w:t>Understanding (MoUs) serve as pillars of innovation, facilitating knowledge exchange and resource sharing on a global scale.</w:t>
      </w:r>
    </w:p>
    <w:p w:rsidR="00CA13C0" w:rsidRPr="00CA13C0" w:rsidRDefault="00CA13C0" w:rsidP="00CA13C0">
      <w:pPr>
        <w:pStyle w:val="ListParagraph"/>
        <w:numPr>
          <w:ilvl w:val="0"/>
          <w:numId w:val="3"/>
        </w:numPr>
        <w:spacing w:after="0" w:line="360" w:lineRule="auto"/>
        <w:jc w:val="both"/>
        <w:rPr>
          <w:rFonts w:asciiTheme="majorHAnsi" w:hAnsiTheme="majorHAnsi"/>
          <w:color w:val="000000"/>
          <w:sz w:val="24"/>
          <w:szCs w:val="24"/>
        </w:rPr>
      </w:pPr>
      <w:r w:rsidRPr="00CA13C0">
        <w:rPr>
          <w:rFonts w:asciiTheme="majorHAnsi" w:hAnsiTheme="majorHAnsi"/>
          <w:b/>
          <w:bCs/>
          <w:color w:val="000000"/>
          <w:sz w:val="24"/>
          <w:szCs w:val="24"/>
        </w:rPr>
        <w:t>Technological Innovation:</w:t>
      </w:r>
      <w:r w:rsidRPr="00CA13C0">
        <w:rPr>
          <w:rFonts w:asciiTheme="majorHAnsi" w:hAnsiTheme="majorHAnsi"/>
          <w:color w:val="000000"/>
          <w:sz w:val="24"/>
          <w:szCs w:val="24"/>
        </w:rPr>
        <w:t xml:space="preserve"> </w:t>
      </w:r>
      <w:r w:rsidR="00750223" w:rsidRPr="00750223">
        <w:rPr>
          <w:rFonts w:asciiTheme="majorHAnsi" w:hAnsiTheme="majorHAnsi"/>
          <w:color w:val="000000"/>
          <w:sz w:val="24"/>
          <w:szCs w:val="24"/>
        </w:rPr>
        <w:t>In embracing the digital era, our institution has successfully implemented a Learning Management System (LMS).</w:t>
      </w:r>
      <w:r w:rsidR="00750223">
        <w:rPr>
          <w:rFonts w:asciiTheme="majorHAnsi" w:hAnsiTheme="majorHAnsi"/>
          <w:color w:val="000000"/>
          <w:sz w:val="24"/>
          <w:szCs w:val="24"/>
        </w:rPr>
        <w:t xml:space="preserve"> </w:t>
      </w:r>
      <w:r w:rsidRPr="00CA13C0">
        <w:rPr>
          <w:rFonts w:asciiTheme="majorHAnsi" w:hAnsiTheme="majorHAnsi"/>
          <w:color w:val="000000"/>
          <w:sz w:val="24"/>
          <w:szCs w:val="24"/>
        </w:rPr>
        <w:t>Recognized as a frontrunner in digital education, T. K. M. College of Arts and Science has been selected as one of the pioneering institutions by the Government of Kerala's Let’s Go Digital initiative. The integration of DigiCol, MOODLE server space, and LMS, facilitated by the Digital University of Kerala, epitomizes our commitment to fostering a technologically adept learning environment. Furthermore, the provision of G-Suite accounts underscores our dedication to seamless collaboration and communication within the academic community.</w:t>
      </w:r>
    </w:p>
    <w:p w:rsidR="00CA13C0" w:rsidRPr="00CF0871" w:rsidRDefault="00CA13C0" w:rsidP="00CF0871">
      <w:pPr>
        <w:pStyle w:val="ListParagraph"/>
        <w:numPr>
          <w:ilvl w:val="0"/>
          <w:numId w:val="3"/>
        </w:numPr>
        <w:spacing w:after="0" w:line="360" w:lineRule="auto"/>
        <w:jc w:val="both"/>
        <w:rPr>
          <w:rFonts w:asciiTheme="majorHAnsi" w:hAnsiTheme="majorHAnsi"/>
          <w:color w:val="000000"/>
          <w:sz w:val="24"/>
          <w:szCs w:val="24"/>
        </w:rPr>
      </w:pPr>
      <w:r w:rsidRPr="00CF0871">
        <w:rPr>
          <w:rFonts w:asciiTheme="majorHAnsi" w:hAnsiTheme="majorHAnsi"/>
          <w:b/>
          <w:bCs/>
          <w:color w:val="000000"/>
          <w:sz w:val="24"/>
          <w:szCs w:val="24"/>
        </w:rPr>
        <w:t>Infrastructure Reinvention:</w:t>
      </w:r>
      <w:r w:rsidRPr="00CF0871">
        <w:rPr>
          <w:rFonts w:asciiTheme="majorHAnsi" w:hAnsiTheme="majorHAnsi"/>
          <w:color w:val="000000"/>
          <w:sz w:val="24"/>
          <w:szCs w:val="24"/>
        </w:rPr>
        <w:t xml:space="preserve"> </w:t>
      </w:r>
      <w:r w:rsidR="00C03BD0" w:rsidRPr="00C03BD0">
        <w:rPr>
          <w:rFonts w:asciiTheme="majorHAnsi" w:hAnsiTheme="majorHAnsi"/>
          <w:color w:val="000000"/>
          <w:sz w:val="24"/>
          <w:szCs w:val="24"/>
        </w:rPr>
        <w:t>The physical infrastructure of our institution has undergone a comprehensive overhaul in recent years, epitomizing our commitment to providing a conducive learning environment.</w:t>
      </w:r>
      <w:r w:rsidR="00C03BD0">
        <w:rPr>
          <w:rFonts w:asciiTheme="majorHAnsi" w:hAnsiTheme="majorHAnsi"/>
          <w:color w:val="000000"/>
          <w:sz w:val="24"/>
          <w:szCs w:val="24"/>
        </w:rPr>
        <w:t xml:space="preserve"> </w:t>
      </w:r>
      <w:r w:rsidRPr="00CF0871">
        <w:rPr>
          <w:rFonts w:asciiTheme="majorHAnsi" w:hAnsiTheme="majorHAnsi"/>
          <w:color w:val="000000"/>
          <w:sz w:val="24"/>
          <w:szCs w:val="24"/>
        </w:rPr>
        <w:t>From state-of-the-art classrooms to a dedicated research block, from the refurbishment of our college auditorium to the modernization of examination facilities, every facet of our infrastructure reflects our unwavering dedication to excellence.</w:t>
      </w:r>
    </w:p>
    <w:p w:rsidR="00CA13C0" w:rsidRPr="00C03BD0" w:rsidRDefault="00CA13C0" w:rsidP="00C03BD0">
      <w:pPr>
        <w:pStyle w:val="ListParagraph"/>
        <w:numPr>
          <w:ilvl w:val="0"/>
          <w:numId w:val="3"/>
        </w:numPr>
        <w:spacing w:after="0" w:line="360" w:lineRule="auto"/>
        <w:jc w:val="both"/>
        <w:rPr>
          <w:rFonts w:asciiTheme="majorHAnsi" w:hAnsiTheme="majorHAnsi"/>
          <w:color w:val="000000"/>
          <w:sz w:val="24"/>
          <w:szCs w:val="24"/>
        </w:rPr>
      </w:pPr>
      <w:r w:rsidRPr="00C03BD0">
        <w:rPr>
          <w:rFonts w:asciiTheme="majorHAnsi" w:hAnsiTheme="majorHAnsi"/>
          <w:b/>
          <w:bCs/>
          <w:color w:val="000000"/>
          <w:sz w:val="24"/>
          <w:szCs w:val="24"/>
        </w:rPr>
        <w:t>Empowering Futures:</w:t>
      </w:r>
      <w:r w:rsidRPr="00C03BD0">
        <w:rPr>
          <w:rFonts w:asciiTheme="majorHAnsi" w:hAnsiTheme="majorHAnsi"/>
          <w:color w:val="000000"/>
          <w:sz w:val="24"/>
          <w:szCs w:val="24"/>
        </w:rPr>
        <w:t xml:space="preserve"> </w:t>
      </w:r>
      <w:r w:rsidR="00112A74" w:rsidRPr="00112A74">
        <w:rPr>
          <w:rFonts w:asciiTheme="majorHAnsi" w:hAnsiTheme="majorHAnsi"/>
          <w:color w:val="000000"/>
          <w:sz w:val="24"/>
          <w:szCs w:val="24"/>
        </w:rPr>
        <w:t>Aligned with our ethos of holistic development, our departments, under the guidance of the Institutional Quality Assurance Cell (IQAC), have embarked on a journey to empower students beyond the confines of academia. IQAC-led orientation sessions on entrance examinations, coupled with rigorous preparation for competitive exams, have equipped our students with the essential tools to flourish in a competitive landscape. Complemented by the proactive efforts of our Career Guidance Training and Placement Cell, students are exposed to a plethora of career avenues, nurturing a culture of exploration and ambition.</w:t>
      </w:r>
    </w:p>
    <w:p w:rsidR="00CA13C0" w:rsidRPr="00C03BD0" w:rsidRDefault="00CA13C0" w:rsidP="00C03BD0">
      <w:pPr>
        <w:pStyle w:val="ListParagraph"/>
        <w:numPr>
          <w:ilvl w:val="0"/>
          <w:numId w:val="3"/>
        </w:numPr>
        <w:spacing w:after="0" w:line="360" w:lineRule="auto"/>
        <w:jc w:val="both"/>
        <w:rPr>
          <w:rFonts w:asciiTheme="majorHAnsi" w:hAnsiTheme="majorHAnsi"/>
          <w:color w:val="000000"/>
          <w:sz w:val="24"/>
          <w:szCs w:val="24"/>
        </w:rPr>
      </w:pPr>
      <w:r w:rsidRPr="00C03BD0">
        <w:rPr>
          <w:rFonts w:asciiTheme="majorHAnsi" w:hAnsiTheme="majorHAnsi"/>
          <w:b/>
          <w:bCs/>
          <w:color w:val="000000"/>
          <w:sz w:val="24"/>
          <w:szCs w:val="24"/>
        </w:rPr>
        <w:t>Nurturing Talent:</w:t>
      </w:r>
      <w:r w:rsidRPr="00C03BD0">
        <w:rPr>
          <w:rFonts w:asciiTheme="majorHAnsi" w:hAnsiTheme="majorHAnsi"/>
          <w:color w:val="000000"/>
          <w:sz w:val="24"/>
          <w:szCs w:val="24"/>
        </w:rPr>
        <w:t xml:space="preserve"> Recognizing that our greatest asset lies in our human capital, a plethora of training programs has been meticulously curated for both teaching and non-teaching staff. By investing in continuous professional development, we ensure that every member of our academic fraternity remains abreast of emerging trends and best practices.</w:t>
      </w:r>
    </w:p>
    <w:p w:rsidR="00CA13C0" w:rsidRPr="00C03BD0" w:rsidRDefault="00CA13C0" w:rsidP="00C03BD0">
      <w:pPr>
        <w:pStyle w:val="ListParagraph"/>
        <w:numPr>
          <w:ilvl w:val="0"/>
          <w:numId w:val="3"/>
        </w:numPr>
        <w:spacing w:after="0" w:line="360" w:lineRule="auto"/>
        <w:jc w:val="both"/>
        <w:rPr>
          <w:rFonts w:asciiTheme="majorHAnsi" w:hAnsiTheme="majorHAnsi"/>
          <w:color w:val="000000"/>
          <w:sz w:val="24"/>
          <w:szCs w:val="24"/>
        </w:rPr>
      </w:pPr>
      <w:r w:rsidRPr="00C03BD0">
        <w:rPr>
          <w:rFonts w:asciiTheme="majorHAnsi" w:hAnsiTheme="majorHAnsi"/>
          <w:b/>
          <w:bCs/>
          <w:color w:val="000000"/>
          <w:sz w:val="24"/>
          <w:szCs w:val="24"/>
        </w:rPr>
        <w:lastRenderedPageBreak/>
        <w:t>Digitizing Governance:</w:t>
      </w:r>
      <w:r w:rsidRPr="00C03BD0">
        <w:rPr>
          <w:rFonts w:asciiTheme="majorHAnsi" w:hAnsiTheme="majorHAnsi"/>
          <w:color w:val="000000"/>
          <w:sz w:val="24"/>
          <w:szCs w:val="24"/>
        </w:rPr>
        <w:t xml:space="preserve"> Embracing the principles of e-governance, we have streamlined administrative processes, enhanced teaching-learning experiences, and optimized resource utilization. From the digitization of accreditation-related data to the consolidation of internal marks, from library management to financial operations, our foray into e-governance has ushered in a new era of efficiency and transparency.</w:t>
      </w:r>
    </w:p>
    <w:p w:rsidR="00CA13C0" w:rsidRPr="00C03BD0" w:rsidRDefault="00CA13C0" w:rsidP="00C03BD0">
      <w:pPr>
        <w:pStyle w:val="ListParagraph"/>
        <w:numPr>
          <w:ilvl w:val="0"/>
          <w:numId w:val="3"/>
        </w:numPr>
        <w:spacing w:after="0" w:line="360" w:lineRule="auto"/>
        <w:jc w:val="both"/>
        <w:rPr>
          <w:rFonts w:asciiTheme="majorHAnsi" w:hAnsiTheme="majorHAnsi"/>
          <w:color w:val="000000"/>
          <w:sz w:val="24"/>
          <w:szCs w:val="24"/>
        </w:rPr>
      </w:pPr>
      <w:r w:rsidRPr="00C03BD0">
        <w:rPr>
          <w:rFonts w:asciiTheme="majorHAnsi" w:hAnsiTheme="majorHAnsi"/>
          <w:b/>
          <w:bCs/>
          <w:color w:val="000000"/>
          <w:sz w:val="24"/>
          <w:szCs w:val="24"/>
        </w:rPr>
        <w:t>Championing Sustainability:</w:t>
      </w:r>
      <w:r w:rsidRPr="00C03BD0">
        <w:rPr>
          <w:rFonts w:asciiTheme="majorHAnsi" w:hAnsiTheme="majorHAnsi"/>
          <w:color w:val="000000"/>
          <w:sz w:val="24"/>
          <w:szCs w:val="24"/>
        </w:rPr>
        <w:t xml:space="preserve"> At the heart of our institutional ethos lies a fervent commitment to environmental stewardship. Through the implementation of Green Protocol initiatives, we have fostered a culture of sustainability within our campus community. Engaging in cleanliness drives and championing initiatives such as the Community Outreach Programmes (COPS) and Swachatha hi Seva campaign, our students and staff embody the spirit of responsible citizenship.</w:t>
      </w:r>
    </w:p>
    <w:p w:rsidR="00CA13C0" w:rsidRPr="00C03BD0" w:rsidRDefault="00CA13C0" w:rsidP="00C03BD0">
      <w:pPr>
        <w:pStyle w:val="ListParagraph"/>
        <w:numPr>
          <w:ilvl w:val="0"/>
          <w:numId w:val="3"/>
        </w:numPr>
        <w:spacing w:after="0" w:line="360" w:lineRule="auto"/>
        <w:jc w:val="both"/>
        <w:rPr>
          <w:rFonts w:asciiTheme="majorHAnsi" w:hAnsiTheme="majorHAnsi"/>
          <w:color w:val="000000"/>
          <w:sz w:val="24"/>
          <w:szCs w:val="24"/>
        </w:rPr>
      </w:pPr>
      <w:r w:rsidRPr="00C03BD0">
        <w:rPr>
          <w:rFonts w:asciiTheme="majorHAnsi" w:hAnsiTheme="majorHAnsi"/>
          <w:b/>
          <w:bCs/>
          <w:color w:val="000000"/>
          <w:sz w:val="24"/>
          <w:szCs w:val="24"/>
        </w:rPr>
        <w:t>Cultivating Inclusivity:</w:t>
      </w:r>
      <w:r w:rsidRPr="00C03BD0">
        <w:rPr>
          <w:rFonts w:asciiTheme="majorHAnsi" w:hAnsiTheme="majorHAnsi"/>
          <w:color w:val="000000"/>
          <w:sz w:val="24"/>
          <w:szCs w:val="24"/>
        </w:rPr>
        <w:t xml:space="preserve"> In our pursuit of academic excellence, we remain steadfast in our commitment to fostering a culture of inclusivity and gender equity. The establishment of Gender Sensitization and Gender Equity Cells underscores our dedication to creating a safe and empowering environment for all members of our community.</w:t>
      </w:r>
    </w:p>
    <w:p w:rsidR="00CA13C0" w:rsidRPr="00CA13C0" w:rsidRDefault="00CA13C0" w:rsidP="00CA13C0">
      <w:pPr>
        <w:spacing w:after="0" w:line="360" w:lineRule="auto"/>
        <w:jc w:val="both"/>
        <w:rPr>
          <w:rFonts w:asciiTheme="majorHAnsi" w:hAnsiTheme="majorHAnsi"/>
          <w:color w:val="000000"/>
          <w:sz w:val="24"/>
          <w:szCs w:val="24"/>
        </w:rPr>
      </w:pPr>
      <w:r w:rsidRPr="00CA13C0">
        <w:rPr>
          <w:rFonts w:asciiTheme="majorHAnsi" w:hAnsiTheme="majorHAnsi"/>
          <w:color w:val="000000"/>
          <w:sz w:val="24"/>
          <w:szCs w:val="24"/>
        </w:rPr>
        <w:t>In summation, the effective deployment of our institutional strategic plan stands as a testament to our unwavering commitment to excellence, innovation, and inclusivity. As we continue to tread the path of progress, guided by our strategic imperatives, we remain poised to surmount any challenge and emerge as torchbearers of academic distinction.</w:t>
      </w:r>
    </w:p>
    <w:p w:rsidR="00D35F80" w:rsidRPr="00D35F80" w:rsidRDefault="00D35F80" w:rsidP="00D35F80">
      <w:pPr>
        <w:spacing w:line="360" w:lineRule="auto"/>
        <w:rPr>
          <w:rFonts w:asciiTheme="majorHAnsi" w:hAnsiTheme="majorHAnsi" w:cs="Times New Roman"/>
          <w:color w:val="000000" w:themeColor="text1"/>
          <w:sz w:val="24"/>
          <w:szCs w:val="24"/>
        </w:rPr>
      </w:pPr>
    </w:p>
    <w:p w:rsidR="00A313DE" w:rsidRDefault="00A313DE"/>
    <w:sectPr w:rsidR="00A313DE" w:rsidSect="00C11C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Times-Bold">
    <w:altName w:val="Times New Roman"/>
    <w:panose1 w:val="0000080000000002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82C4D"/>
    <w:multiLevelType w:val="hybridMultilevel"/>
    <w:tmpl w:val="4E2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3A75A0"/>
    <w:multiLevelType w:val="hybridMultilevel"/>
    <w:tmpl w:val="C5BC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51851"/>
    <w:multiLevelType w:val="multilevel"/>
    <w:tmpl w:val="1F8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200345">
    <w:abstractNumId w:val="2"/>
  </w:num>
  <w:num w:numId="2" w16cid:durableId="359815776">
    <w:abstractNumId w:val="0"/>
  </w:num>
  <w:num w:numId="3" w16cid:durableId="1184979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0NzE3sTSxABKWZko6SsGpxcWZ+XkgBYa1AAfqZ30sAAAA"/>
  </w:docVars>
  <w:rsids>
    <w:rsidRoot w:val="00D35F80"/>
    <w:rsid w:val="00110D69"/>
    <w:rsid w:val="00112A74"/>
    <w:rsid w:val="00320181"/>
    <w:rsid w:val="004E6CE6"/>
    <w:rsid w:val="00750223"/>
    <w:rsid w:val="00784AF2"/>
    <w:rsid w:val="009B469D"/>
    <w:rsid w:val="00A313DE"/>
    <w:rsid w:val="00B01FBA"/>
    <w:rsid w:val="00C03BD0"/>
    <w:rsid w:val="00C11C03"/>
    <w:rsid w:val="00C40F5C"/>
    <w:rsid w:val="00CA13C0"/>
    <w:rsid w:val="00CF0871"/>
    <w:rsid w:val="00D35F80"/>
    <w:rsid w:val="00F5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4A00C9-7FC1-4C65-892E-CED5D6D3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F80"/>
    <w:rPr>
      <w:color w:val="0000FF" w:themeColor="hyperlink"/>
      <w:u w:val="single"/>
    </w:rPr>
  </w:style>
  <w:style w:type="table" w:styleId="TableGrid">
    <w:name w:val="Table Grid"/>
    <w:basedOn w:val="TableNormal"/>
    <w:uiPriority w:val="59"/>
    <w:rsid w:val="00D35F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3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F80"/>
    <w:rPr>
      <w:rFonts w:ascii="Tahoma" w:hAnsi="Tahoma" w:cs="Tahoma"/>
      <w:sz w:val="16"/>
      <w:szCs w:val="16"/>
    </w:rPr>
  </w:style>
  <w:style w:type="character" w:customStyle="1" w:styleId="fontstyle01">
    <w:name w:val="fontstyle01"/>
    <w:basedOn w:val="DefaultParagraphFont"/>
    <w:rsid w:val="00D35F80"/>
    <w:rPr>
      <w:rFonts w:ascii="Times-Roman" w:hAnsi="Times-Roman" w:hint="default"/>
      <w:b w:val="0"/>
      <w:bCs w:val="0"/>
      <w:i w:val="0"/>
      <w:iCs w:val="0"/>
      <w:color w:val="000000"/>
      <w:sz w:val="24"/>
      <w:szCs w:val="24"/>
    </w:rPr>
  </w:style>
  <w:style w:type="character" w:customStyle="1" w:styleId="fontstyle21">
    <w:name w:val="fontstyle21"/>
    <w:basedOn w:val="DefaultParagraphFont"/>
    <w:rsid w:val="00D35F80"/>
    <w:rPr>
      <w:rFonts w:ascii="Times-Italic" w:hAnsi="Times-Italic" w:hint="default"/>
      <w:b w:val="0"/>
      <w:bCs w:val="0"/>
      <w:i/>
      <w:iCs/>
      <w:color w:val="000000"/>
      <w:sz w:val="24"/>
      <w:szCs w:val="24"/>
    </w:rPr>
  </w:style>
  <w:style w:type="character" w:customStyle="1" w:styleId="fontstyle31">
    <w:name w:val="fontstyle31"/>
    <w:basedOn w:val="DefaultParagraphFont"/>
    <w:rsid w:val="00D35F80"/>
    <w:rPr>
      <w:rFonts w:ascii="Times-Bold" w:hAnsi="Times-Bold" w:hint="default"/>
      <w:b/>
      <w:bCs/>
      <w:i w:val="0"/>
      <w:iCs w:val="0"/>
      <w:color w:val="000000"/>
      <w:sz w:val="24"/>
      <w:szCs w:val="24"/>
    </w:rPr>
  </w:style>
  <w:style w:type="paragraph" w:styleId="NormalWeb">
    <w:name w:val="Normal (Web)"/>
    <w:basedOn w:val="Normal"/>
    <w:uiPriority w:val="99"/>
    <w:semiHidden/>
    <w:unhideWhenUsed/>
    <w:rsid w:val="00D35F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7253">
      <w:bodyDiv w:val="1"/>
      <w:marLeft w:val="0"/>
      <w:marRight w:val="0"/>
      <w:marTop w:val="0"/>
      <w:marBottom w:val="0"/>
      <w:divBdr>
        <w:top w:val="none" w:sz="0" w:space="0" w:color="auto"/>
        <w:left w:val="none" w:sz="0" w:space="0" w:color="auto"/>
        <w:bottom w:val="none" w:sz="0" w:space="0" w:color="auto"/>
        <w:right w:val="none" w:sz="0" w:space="0" w:color="auto"/>
      </w:divBdr>
    </w:div>
    <w:div w:id="13672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TKMOLDLAB5</dc:creator>
  <cp:keywords/>
  <dc:description/>
  <cp:lastModifiedBy>Anshad Abbas</cp:lastModifiedBy>
  <cp:revision>2</cp:revision>
  <dcterms:created xsi:type="dcterms:W3CDTF">2024-12-19T05:57:00Z</dcterms:created>
  <dcterms:modified xsi:type="dcterms:W3CDTF">2024-12-19T05:57:00Z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315328a0f335fb898dba94a2d9a64b19935d93e580765658f8d4582a1ea963ca</vt:lpwstr>
  </property>
</Properties>
</file>