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6937B" w14:textId="77777777" w:rsidR="00733CAA" w:rsidRDefault="00733CAA" w:rsidP="00733CAA">
      <w:pPr>
        <w:jc w:val="center"/>
        <w:rPr>
          <w:rFonts w:ascii="Times New Roman" w:hAnsi="Times New Roman" w:cs="Times New Roman"/>
          <w:b/>
          <w:bCs/>
          <w:sz w:val="32"/>
          <w:szCs w:val="32"/>
        </w:rPr>
      </w:pPr>
      <w:r>
        <w:rPr>
          <w:rFonts w:ascii="Times New Roman" w:hAnsi="Times New Roman" w:cs="Times New Roman"/>
          <w:b/>
          <w:bCs/>
          <w:sz w:val="32"/>
          <w:szCs w:val="32"/>
        </w:rPr>
        <w:t>Department of Biochemistry</w:t>
      </w:r>
    </w:p>
    <w:p w14:paraId="08A47648" w14:textId="77777777" w:rsidR="00733CAA" w:rsidRDefault="00733CAA" w:rsidP="00733CAA">
      <w:pPr>
        <w:jc w:val="center"/>
        <w:rPr>
          <w:rFonts w:ascii="Times New Roman" w:hAnsi="Times New Roman" w:cs="Times New Roman"/>
          <w:b/>
          <w:bCs/>
          <w:sz w:val="28"/>
          <w:szCs w:val="28"/>
        </w:rPr>
      </w:pPr>
      <w:r>
        <w:rPr>
          <w:rFonts w:ascii="Times New Roman" w:hAnsi="Times New Roman" w:cs="Times New Roman"/>
          <w:b/>
          <w:bCs/>
          <w:sz w:val="28"/>
          <w:szCs w:val="28"/>
        </w:rPr>
        <w:t>Bridge Course</w:t>
      </w:r>
    </w:p>
    <w:p w14:paraId="285A5C29" w14:textId="4D32937A" w:rsidR="00733CAA" w:rsidRPr="00864607" w:rsidRDefault="00733CAA" w:rsidP="00733CAA">
      <w:pPr>
        <w:spacing w:line="480" w:lineRule="auto"/>
        <w:jc w:val="center"/>
        <w:rPr>
          <w:rFonts w:ascii="Times New Roman" w:hAnsi="Times New Roman" w:cs="Times New Roman"/>
          <w:b/>
          <w:bCs/>
          <w:sz w:val="28"/>
          <w:szCs w:val="28"/>
        </w:rPr>
      </w:pPr>
      <w:r w:rsidRPr="00864607">
        <w:rPr>
          <w:rFonts w:ascii="Times New Roman" w:hAnsi="Times New Roman" w:cs="Times New Roman"/>
          <w:b/>
          <w:bCs/>
          <w:sz w:val="28"/>
          <w:szCs w:val="28"/>
        </w:rPr>
        <w:t>(202</w:t>
      </w:r>
      <w:r>
        <w:rPr>
          <w:rFonts w:ascii="Times New Roman" w:hAnsi="Times New Roman" w:cs="Times New Roman"/>
          <w:b/>
          <w:bCs/>
          <w:sz w:val="28"/>
          <w:szCs w:val="28"/>
        </w:rPr>
        <w:t>3</w:t>
      </w:r>
      <w:r w:rsidRPr="00864607">
        <w:rPr>
          <w:rFonts w:ascii="Times New Roman" w:hAnsi="Times New Roman" w:cs="Times New Roman"/>
          <w:b/>
          <w:bCs/>
          <w:sz w:val="28"/>
          <w:szCs w:val="28"/>
        </w:rPr>
        <w:t>-2</w:t>
      </w:r>
      <w:r>
        <w:rPr>
          <w:rFonts w:ascii="Times New Roman" w:hAnsi="Times New Roman" w:cs="Times New Roman"/>
          <w:b/>
          <w:bCs/>
          <w:sz w:val="28"/>
          <w:szCs w:val="28"/>
        </w:rPr>
        <w:t>4</w:t>
      </w:r>
      <w:r w:rsidRPr="00864607">
        <w:rPr>
          <w:rFonts w:ascii="Times New Roman" w:hAnsi="Times New Roman" w:cs="Times New Roman"/>
          <w:b/>
          <w:bCs/>
          <w:sz w:val="28"/>
          <w:szCs w:val="28"/>
        </w:rPr>
        <w:t>)</w:t>
      </w:r>
    </w:p>
    <w:p w14:paraId="2D8E521F" w14:textId="2A2E6DBC" w:rsidR="00733CAA" w:rsidRDefault="00733CAA" w:rsidP="00733CAA">
      <w:pPr>
        <w:jc w:val="both"/>
        <w:rPr>
          <w:rFonts w:ascii="Times New Roman" w:hAnsi="Times New Roman" w:cs="Times New Roman"/>
          <w:sz w:val="24"/>
          <w:szCs w:val="24"/>
        </w:rPr>
      </w:pPr>
      <w:r w:rsidRPr="007A1B6E">
        <w:rPr>
          <w:rFonts w:ascii="Times New Roman" w:hAnsi="Times New Roman" w:cs="Times New Roman"/>
          <w:sz w:val="24"/>
          <w:szCs w:val="24"/>
        </w:rPr>
        <w:t xml:space="preserve">Department of Biochemistry conducted a two weeks bridge course from </w:t>
      </w:r>
      <w:r>
        <w:rPr>
          <w:rFonts w:ascii="Times New Roman" w:hAnsi="Times New Roman" w:cs="Times New Roman"/>
          <w:sz w:val="24"/>
          <w:szCs w:val="24"/>
        </w:rPr>
        <w:t>24.07.2023</w:t>
      </w:r>
      <w:r w:rsidRPr="007A1B6E">
        <w:rPr>
          <w:rFonts w:ascii="Times New Roman" w:hAnsi="Times New Roman" w:cs="Times New Roman"/>
          <w:sz w:val="24"/>
          <w:szCs w:val="24"/>
        </w:rPr>
        <w:t xml:space="preserve"> – </w:t>
      </w:r>
      <w:r>
        <w:rPr>
          <w:rFonts w:ascii="Times New Roman" w:hAnsi="Times New Roman" w:cs="Times New Roman"/>
          <w:sz w:val="24"/>
          <w:szCs w:val="24"/>
        </w:rPr>
        <w:t>21.08.2023</w:t>
      </w:r>
      <w:r w:rsidRPr="007A1B6E">
        <w:rPr>
          <w:rFonts w:ascii="Times New Roman" w:hAnsi="Times New Roman" w:cs="Times New Roman"/>
          <w:sz w:val="24"/>
          <w:szCs w:val="24"/>
        </w:rPr>
        <w:t xml:space="preserve"> in offline mode before the commencement of regular classes. The main objective of the course is to bridge the gap between subjects studied at Pre-university level and subjects they would be studying in Degree </w:t>
      </w:r>
      <w:proofErr w:type="spellStart"/>
      <w:r w:rsidRPr="007A1B6E">
        <w:rPr>
          <w:rFonts w:ascii="Times New Roman" w:hAnsi="Times New Roman" w:cs="Times New Roman"/>
          <w:sz w:val="24"/>
          <w:szCs w:val="24"/>
        </w:rPr>
        <w:t>programme</w:t>
      </w:r>
      <w:proofErr w:type="spellEnd"/>
      <w:r w:rsidRPr="007A1B6E">
        <w:rPr>
          <w:rFonts w:ascii="Times New Roman" w:hAnsi="Times New Roman" w:cs="Times New Roman"/>
          <w:sz w:val="24"/>
          <w:szCs w:val="24"/>
        </w:rPr>
        <w:t xml:space="preserve">. The Bridge Courses also focus on the pupil with different learning abilities, academic standards and performances. The students were given awareness about CBCS system, various texts, to make them think critically and creatively.  The course had duration of 15 hours. </w:t>
      </w:r>
    </w:p>
    <w:p w14:paraId="47F13A74" w14:textId="77777777" w:rsidR="00733CAA" w:rsidRPr="007A1B6E" w:rsidRDefault="00733CAA" w:rsidP="00733CAA">
      <w:pPr>
        <w:jc w:val="both"/>
        <w:rPr>
          <w:rFonts w:ascii="Times New Roman" w:hAnsi="Times New Roman" w:cs="Times New Roman"/>
          <w:sz w:val="24"/>
          <w:szCs w:val="24"/>
        </w:rPr>
      </w:pPr>
      <w:r w:rsidRPr="007A1B6E">
        <w:rPr>
          <w:rFonts w:ascii="Times New Roman" w:hAnsi="Times New Roman" w:cs="Times New Roman"/>
          <w:sz w:val="24"/>
          <w:szCs w:val="24"/>
        </w:rPr>
        <w:t>The classes were handled by the following members of the faculty</w:t>
      </w:r>
    </w:p>
    <w:p w14:paraId="0C5C4567" w14:textId="77777777" w:rsidR="00733CAA" w:rsidRDefault="00733CAA" w:rsidP="00733CAA">
      <w:pPr>
        <w:rPr>
          <w:rFonts w:ascii="Times New Roman" w:hAnsi="Times New Roman" w:cs="Times New Roman"/>
          <w:sz w:val="24"/>
          <w:szCs w:val="24"/>
        </w:rPr>
      </w:pPr>
      <w:r>
        <w:rPr>
          <w:rFonts w:ascii="Times New Roman" w:hAnsi="Times New Roman" w:cs="Times New Roman"/>
          <w:sz w:val="24"/>
          <w:szCs w:val="24"/>
        </w:rPr>
        <w:t>Dr. Latha B</w:t>
      </w:r>
    </w:p>
    <w:p w14:paraId="4ADF46B3" w14:textId="77777777" w:rsidR="00733CAA" w:rsidRDefault="00733CAA" w:rsidP="00733CAA">
      <w:pPr>
        <w:rPr>
          <w:rFonts w:ascii="Times New Roman" w:hAnsi="Times New Roman" w:cs="Times New Roman"/>
          <w:sz w:val="24"/>
          <w:szCs w:val="24"/>
        </w:rPr>
      </w:pPr>
      <w:r>
        <w:rPr>
          <w:rFonts w:ascii="Times New Roman" w:hAnsi="Times New Roman" w:cs="Times New Roman"/>
          <w:sz w:val="24"/>
          <w:szCs w:val="24"/>
        </w:rPr>
        <w:t xml:space="preserve">Mrs. </w:t>
      </w:r>
      <w:proofErr w:type="spellStart"/>
      <w:r>
        <w:rPr>
          <w:rFonts w:ascii="Times New Roman" w:hAnsi="Times New Roman" w:cs="Times New Roman"/>
          <w:sz w:val="24"/>
          <w:szCs w:val="24"/>
        </w:rPr>
        <w:t>Ajinza</w:t>
      </w:r>
      <w:proofErr w:type="spellEnd"/>
      <w:r>
        <w:rPr>
          <w:rFonts w:ascii="Times New Roman" w:hAnsi="Times New Roman" w:cs="Times New Roman"/>
          <w:sz w:val="24"/>
          <w:szCs w:val="24"/>
        </w:rPr>
        <w:t xml:space="preserve"> A</w:t>
      </w:r>
    </w:p>
    <w:p w14:paraId="72A82966" w14:textId="77777777" w:rsidR="00733CAA" w:rsidRDefault="00733CAA" w:rsidP="00733CAA">
      <w:pPr>
        <w:rPr>
          <w:rFonts w:ascii="Times New Roman" w:hAnsi="Times New Roman" w:cs="Times New Roman"/>
          <w:sz w:val="24"/>
          <w:szCs w:val="24"/>
        </w:rPr>
      </w:pPr>
      <w:r>
        <w:rPr>
          <w:rFonts w:ascii="Times New Roman" w:hAnsi="Times New Roman" w:cs="Times New Roman"/>
          <w:sz w:val="24"/>
          <w:szCs w:val="24"/>
        </w:rPr>
        <w:t>Mrs. Soumya S</w:t>
      </w:r>
    </w:p>
    <w:p w14:paraId="38492F3B" w14:textId="77777777" w:rsidR="00733CAA" w:rsidRDefault="00733CAA" w:rsidP="00733CAA">
      <w:pPr>
        <w:rPr>
          <w:rFonts w:ascii="Times New Roman" w:hAnsi="Times New Roman" w:cs="Times New Roman"/>
          <w:sz w:val="24"/>
          <w:szCs w:val="24"/>
        </w:rPr>
      </w:pPr>
      <w:r>
        <w:rPr>
          <w:rFonts w:ascii="Times New Roman" w:hAnsi="Times New Roman" w:cs="Times New Roman"/>
          <w:sz w:val="24"/>
          <w:szCs w:val="24"/>
        </w:rPr>
        <w:t>Dr. Ansil P N</w:t>
      </w:r>
    </w:p>
    <w:p w14:paraId="6AA5C9F7" w14:textId="77777777" w:rsidR="00733CAA" w:rsidRDefault="00733CAA" w:rsidP="00733CAA">
      <w:pPr>
        <w:rPr>
          <w:rFonts w:ascii="Times New Roman" w:hAnsi="Times New Roman" w:cs="Times New Roman"/>
          <w:sz w:val="24"/>
          <w:szCs w:val="24"/>
        </w:rPr>
      </w:pPr>
      <w:r>
        <w:rPr>
          <w:rFonts w:ascii="Times New Roman" w:hAnsi="Times New Roman" w:cs="Times New Roman"/>
          <w:sz w:val="24"/>
          <w:szCs w:val="24"/>
        </w:rPr>
        <w:t>Dr. Sumayya A.S</w:t>
      </w:r>
    </w:p>
    <w:p w14:paraId="7541F945" w14:textId="43C42B07" w:rsidR="00733CAA" w:rsidRDefault="00733CAA" w:rsidP="00733CAA">
      <w:pPr>
        <w:rPr>
          <w:rFonts w:ascii="Times New Roman" w:hAnsi="Times New Roman" w:cs="Times New Roman"/>
          <w:sz w:val="24"/>
          <w:szCs w:val="24"/>
        </w:rPr>
      </w:pPr>
      <w:r>
        <w:rPr>
          <w:rFonts w:ascii="Times New Roman" w:hAnsi="Times New Roman" w:cs="Times New Roman"/>
          <w:sz w:val="24"/>
          <w:szCs w:val="24"/>
        </w:rPr>
        <w:t>Dr. Harishankar. H.S</w:t>
      </w:r>
    </w:p>
    <w:p w14:paraId="57B37BB7" w14:textId="1B9E02F6" w:rsidR="00CE30AB" w:rsidRDefault="00CE30AB" w:rsidP="00733CAA">
      <w:pPr>
        <w:rPr>
          <w:rFonts w:ascii="Times New Roman" w:hAnsi="Times New Roman" w:cs="Times New Roman"/>
          <w:sz w:val="24"/>
          <w:szCs w:val="24"/>
        </w:rPr>
      </w:pPr>
    </w:p>
    <w:p w14:paraId="17E444ED" w14:textId="2B34FC5C" w:rsidR="00CE30AB" w:rsidRDefault="00CE30AB" w:rsidP="00733CAA">
      <w:pPr>
        <w:rPr>
          <w:rFonts w:ascii="Times New Roman" w:hAnsi="Times New Roman" w:cs="Times New Roman"/>
          <w:sz w:val="24"/>
          <w:szCs w:val="24"/>
        </w:rPr>
      </w:pPr>
    </w:p>
    <w:p w14:paraId="2AC21B1B" w14:textId="7396B1CC" w:rsidR="00CE30AB" w:rsidRDefault="00CE30AB" w:rsidP="00733CAA">
      <w:pPr>
        <w:rPr>
          <w:rFonts w:ascii="Times New Roman" w:hAnsi="Times New Roman" w:cs="Times New Roman"/>
          <w:sz w:val="24"/>
          <w:szCs w:val="24"/>
        </w:rPr>
      </w:pPr>
    </w:p>
    <w:p w14:paraId="772FDAE3" w14:textId="01ED395E" w:rsidR="00CE30AB" w:rsidRDefault="00CE30AB" w:rsidP="00733CAA">
      <w:pPr>
        <w:rPr>
          <w:rFonts w:ascii="Times New Roman" w:hAnsi="Times New Roman" w:cs="Times New Roman"/>
          <w:sz w:val="24"/>
          <w:szCs w:val="24"/>
        </w:rPr>
      </w:pPr>
    </w:p>
    <w:p w14:paraId="04BE8B37" w14:textId="1CEF7C13" w:rsidR="00CE30AB" w:rsidRDefault="00CE30AB" w:rsidP="00733CAA">
      <w:pPr>
        <w:rPr>
          <w:rFonts w:ascii="Times New Roman" w:hAnsi="Times New Roman" w:cs="Times New Roman"/>
          <w:sz w:val="24"/>
          <w:szCs w:val="24"/>
        </w:rPr>
      </w:pPr>
    </w:p>
    <w:p w14:paraId="2A77AD20" w14:textId="4C39731D" w:rsidR="00CE30AB" w:rsidRDefault="00CE30AB" w:rsidP="00733CAA">
      <w:pPr>
        <w:rPr>
          <w:rFonts w:ascii="Times New Roman" w:hAnsi="Times New Roman" w:cs="Times New Roman"/>
          <w:sz w:val="24"/>
          <w:szCs w:val="24"/>
        </w:rPr>
      </w:pPr>
    </w:p>
    <w:p w14:paraId="5301F07F" w14:textId="0C7408EA" w:rsidR="00CE30AB" w:rsidRDefault="00CE30AB" w:rsidP="00733CAA">
      <w:pPr>
        <w:rPr>
          <w:rFonts w:ascii="Times New Roman" w:hAnsi="Times New Roman" w:cs="Times New Roman"/>
          <w:sz w:val="24"/>
          <w:szCs w:val="24"/>
        </w:rPr>
      </w:pPr>
    </w:p>
    <w:p w14:paraId="5A86A524" w14:textId="7A7A2F64" w:rsidR="00CE30AB" w:rsidRDefault="00CE30AB" w:rsidP="00733CAA">
      <w:pPr>
        <w:rPr>
          <w:rFonts w:ascii="Times New Roman" w:hAnsi="Times New Roman" w:cs="Times New Roman"/>
          <w:sz w:val="24"/>
          <w:szCs w:val="24"/>
        </w:rPr>
      </w:pPr>
    </w:p>
    <w:p w14:paraId="3C78FCF3" w14:textId="088CC63B" w:rsidR="00CE30AB" w:rsidRDefault="00CE30AB" w:rsidP="00733CAA">
      <w:pPr>
        <w:rPr>
          <w:rFonts w:ascii="Times New Roman" w:hAnsi="Times New Roman" w:cs="Times New Roman"/>
          <w:sz w:val="24"/>
          <w:szCs w:val="24"/>
        </w:rPr>
      </w:pPr>
    </w:p>
    <w:p w14:paraId="1B9D71A5" w14:textId="021D80DD" w:rsidR="00CE30AB" w:rsidRDefault="00CE30AB" w:rsidP="00733CAA">
      <w:pPr>
        <w:rPr>
          <w:rFonts w:ascii="Times New Roman" w:hAnsi="Times New Roman" w:cs="Times New Roman"/>
          <w:sz w:val="24"/>
          <w:szCs w:val="24"/>
        </w:rPr>
      </w:pPr>
    </w:p>
    <w:p w14:paraId="40E5616C" w14:textId="3AD73C7C" w:rsidR="00CE30AB" w:rsidRDefault="00CE30AB" w:rsidP="00733CAA">
      <w:pPr>
        <w:rPr>
          <w:rFonts w:ascii="Times New Roman" w:hAnsi="Times New Roman" w:cs="Times New Roman"/>
          <w:sz w:val="24"/>
          <w:szCs w:val="24"/>
        </w:rPr>
      </w:pPr>
    </w:p>
    <w:p w14:paraId="7F011F15" w14:textId="77777777" w:rsidR="00CE30AB" w:rsidRPr="007A1B6E" w:rsidRDefault="00CE30AB" w:rsidP="00CE30AB">
      <w:pPr>
        <w:rPr>
          <w:rFonts w:ascii="Times New Roman" w:hAnsi="Times New Roman" w:cs="Times New Roman"/>
          <w:b/>
          <w:sz w:val="28"/>
          <w:szCs w:val="28"/>
        </w:rPr>
      </w:pPr>
      <w:r w:rsidRPr="007A1B6E">
        <w:rPr>
          <w:rFonts w:ascii="Times New Roman" w:hAnsi="Times New Roman" w:cs="Times New Roman"/>
          <w:b/>
          <w:sz w:val="28"/>
          <w:szCs w:val="28"/>
        </w:rPr>
        <w:lastRenderedPageBreak/>
        <w:t>Topics Covered</w:t>
      </w:r>
    </w:p>
    <w:tbl>
      <w:tblPr>
        <w:tblStyle w:val="TableGrid"/>
        <w:tblW w:w="0" w:type="auto"/>
        <w:tblLook w:val="04A0" w:firstRow="1" w:lastRow="0" w:firstColumn="1" w:lastColumn="0" w:noHBand="0" w:noVBand="1"/>
      </w:tblPr>
      <w:tblGrid>
        <w:gridCol w:w="1008"/>
        <w:gridCol w:w="3780"/>
        <w:gridCol w:w="2394"/>
      </w:tblGrid>
      <w:tr w:rsidR="00CE30AB" w14:paraId="162FE2A7" w14:textId="77777777" w:rsidTr="00F66319">
        <w:tc>
          <w:tcPr>
            <w:tcW w:w="1008" w:type="dxa"/>
          </w:tcPr>
          <w:p w14:paraId="69125473" w14:textId="77777777" w:rsidR="00CE30AB" w:rsidRDefault="00CE30AB" w:rsidP="00F66319">
            <w:pPr>
              <w:spacing w:line="480" w:lineRule="auto"/>
              <w:rPr>
                <w:rFonts w:ascii="Times New Roman" w:hAnsi="Times New Roman" w:cs="Times New Roman"/>
                <w:b/>
                <w:bCs/>
                <w:sz w:val="26"/>
                <w:szCs w:val="26"/>
              </w:rPr>
            </w:pPr>
            <w:proofErr w:type="spellStart"/>
            <w:r>
              <w:rPr>
                <w:rFonts w:ascii="Times New Roman" w:hAnsi="Times New Roman" w:cs="Times New Roman"/>
                <w:b/>
                <w:bCs/>
                <w:sz w:val="26"/>
                <w:szCs w:val="26"/>
              </w:rPr>
              <w:t>Sl</w:t>
            </w:r>
            <w:proofErr w:type="spellEnd"/>
            <w:r>
              <w:rPr>
                <w:rFonts w:ascii="Times New Roman" w:hAnsi="Times New Roman" w:cs="Times New Roman"/>
                <w:b/>
                <w:bCs/>
                <w:sz w:val="26"/>
                <w:szCs w:val="26"/>
              </w:rPr>
              <w:t xml:space="preserve"> No.</w:t>
            </w:r>
          </w:p>
        </w:tc>
        <w:tc>
          <w:tcPr>
            <w:tcW w:w="3780" w:type="dxa"/>
          </w:tcPr>
          <w:p w14:paraId="7F3EA84C" w14:textId="77777777" w:rsidR="00CE30AB" w:rsidRDefault="00CE30AB" w:rsidP="00F66319">
            <w:pPr>
              <w:spacing w:line="480" w:lineRule="auto"/>
              <w:rPr>
                <w:rFonts w:ascii="Times New Roman" w:hAnsi="Times New Roman" w:cs="Times New Roman"/>
                <w:b/>
                <w:bCs/>
                <w:sz w:val="26"/>
                <w:szCs w:val="26"/>
              </w:rPr>
            </w:pPr>
            <w:r>
              <w:rPr>
                <w:rFonts w:ascii="Times New Roman" w:hAnsi="Times New Roman" w:cs="Times New Roman"/>
                <w:b/>
                <w:bCs/>
                <w:sz w:val="26"/>
                <w:szCs w:val="26"/>
              </w:rPr>
              <w:t>Topics covered</w:t>
            </w:r>
          </w:p>
        </w:tc>
        <w:tc>
          <w:tcPr>
            <w:tcW w:w="2394" w:type="dxa"/>
          </w:tcPr>
          <w:p w14:paraId="21CB7AB9" w14:textId="77777777" w:rsidR="00CE30AB" w:rsidRDefault="00CE30AB" w:rsidP="00F66319">
            <w:pPr>
              <w:spacing w:line="480" w:lineRule="auto"/>
              <w:rPr>
                <w:rFonts w:ascii="Times New Roman" w:hAnsi="Times New Roman" w:cs="Times New Roman"/>
                <w:b/>
                <w:bCs/>
                <w:sz w:val="26"/>
                <w:szCs w:val="26"/>
              </w:rPr>
            </w:pPr>
            <w:r>
              <w:rPr>
                <w:rFonts w:ascii="Times New Roman" w:hAnsi="Times New Roman" w:cs="Times New Roman"/>
                <w:b/>
                <w:bCs/>
                <w:sz w:val="26"/>
                <w:szCs w:val="26"/>
              </w:rPr>
              <w:t xml:space="preserve">No. of hours </w:t>
            </w:r>
          </w:p>
        </w:tc>
      </w:tr>
      <w:tr w:rsidR="00CE30AB" w14:paraId="75FB35AF" w14:textId="77777777" w:rsidTr="00F66319">
        <w:tc>
          <w:tcPr>
            <w:tcW w:w="1008" w:type="dxa"/>
          </w:tcPr>
          <w:p w14:paraId="4616D32B" w14:textId="77777777" w:rsidR="00CE30AB" w:rsidRDefault="00CE30AB" w:rsidP="00F66319">
            <w:r>
              <w:t>1</w:t>
            </w:r>
          </w:p>
        </w:tc>
        <w:tc>
          <w:tcPr>
            <w:tcW w:w="3780" w:type="dxa"/>
          </w:tcPr>
          <w:p w14:paraId="74B002CB" w14:textId="77777777" w:rsidR="00CE30AB" w:rsidRDefault="00CE30AB" w:rsidP="00F66319">
            <w:r w:rsidRPr="007A1B6E">
              <w:t xml:space="preserve">General awareness regarding the </w:t>
            </w:r>
            <w:proofErr w:type="spellStart"/>
            <w:proofErr w:type="gramStart"/>
            <w:r w:rsidRPr="007A1B6E">
              <w:t>B.Sc</w:t>
            </w:r>
            <w:proofErr w:type="spellEnd"/>
            <w:proofErr w:type="gramEnd"/>
            <w:r w:rsidRPr="007A1B6E">
              <w:t xml:space="preserve"> Biochemistry </w:t>
            </w:r>
            <w:proofErr w:type="spellStart"/>
            <w:r w:rsidRPr="007A1B6E">
              <w:t>programme</w:t>
            </w:r>
            <w:proofErr w:type="spellEnd"/>
          </w:p>
        </w:tc>
        <w:tc>
          <w:tcPr>
            <w:tcW w:w="2394" w:type="dxa"/>
          </w:tcPr>
          <w:p w14:paraId="1F680E59" w14:textId="77777777" w:rsidR="00CE30AB" w:rsidRDefault="00CE30AB" w:rsidP="00F66319">
            <w:r>
              <w:t>2</w:t>
            </w:r>
          </w:p>
        </w:tc>
      </w:tr>
      <w:tr w:rsidR="00CE30AB" w14:paraId="31880B5F" w14:textId="77777777" w:rsidTr="00F66319">
        <w:tc>
          <w:tcPr>
            <w:tcW w:w="1008" w:type="dxa"/>
          </w:tcPr>
          <w:p w14:paraId="4147741C" w14:textId="77777777" w:rsidR="00CE30AB" w:rsidRDefault="00CE30AB" w:rsidP="00F66319">
            <w:r>
              <w:t>2</w:t>
            </w:r>
          </w:p>
        </w:tc>
        <w:tc>
          <w:tcPr>
            <w:tcW w:w="3780" w:type="dxa"/>
          </w:tcPr>
          <w:p w14:paraId="6D3E219F" w14:textId="77777777" w:rsidR="00CE30AB" w:rsidRDefault="00CE30AB" w:rsidP="00F66319">
            <w:r w:rsidRPr="007A1B6E">
              <w:t>Introduction to Biochemistry</w:t>
            </w:r>
          </w:p>
        </w:tc>
        <w:tc>
          <w:tcPr>
            <w:tcW w:w="2394" w:type="dxa"/>
          </w:tcPr>
          <w:p w14:paraId="039CCD99" w14:textId="77777777" w:rsidR="00CE30AB" w:rsidRDefault="00CE30AB" w:rsidP="00F66319">
            <w:r>
              <w:t>3</w:t>
            </w:r>
          </w:p>
        </w:tc>
      </w:tr>
      <w:tr w:rsidR="00CE30AB" w14:paraId="7128B99F" w14:textId="77777777" w:rsidTr="00F66319">
        <w:tc>
          <w:tcPr>
            <w:tcW w:w="1008" w:type="dxa"/>
          </w:tcPr>
          <w:p w14:paraId="4B291C78" w14:textId="77777777" w:rsidR="00CE30AB" w:rsidRDefault="00CE30AB" w:rsidP="00F66319">
            <w:r>
              <w:t>3</w:t>
            </w:r>
          </w:p>
        </w:tc>
        <w:tc>
          <w:tcPr>
            <w:tcW w:w="3780" w:type="dxa"/>
          </w:tcPr>
          <w:p w14:paraId="03360316" w14:textId="77777777" w:rsidR="00CE30AB" w:rsidRDefault="00CE30AB" w:rsidP="00F66319">
            <w:r w:rsidRPr="007A1B6E">
              <w:t>Scope of Biochemistry</w:t>
            </w:r>
          </w:p>
        </w:tc>
        <w:tc>
          <w:tcPr>
            <w:tcW w:w="2394" w:type="dxa"/>
          </w:tcPr>
          <w:p w14:paraId="4A210E27" w14:textId="77777777" w:rsidR="00CE30AB" w:rsidRDefault="00CE30AB" w:rsidP="00F66319">
            <w:r>
              <w:t>1</w:t>
            </w:r>
          </w:p>
        </w:tc>
      </w:tr>
      <w:tr w:rsidR="00CE30AB" w14:paraId="068177A1" w14:textId="77777777" w:rsidTr="00F66319">
        <w:tc>
          <w:tcPr>
            <w:tcW w:w="1008" w:type="dxa"/>
          </w:tcPr>
          <w:p w14:paraId="4265F63B" w14:textId="77777777" w:rsidR="00CE30AB" w:rsidRDefault="00CE30AB" w:rsidP="00F66319">
            <w:r>
              <w:t>4</w:t>
            </w:r>
          </w:p>
        </w:tc>
        <w:tc>
          <w:tcPr>
            <w:tcW w:w="3780" w:type="dxa"/>
          </w:tcPr>
          <w:p w14:paraId="5CA41DCF" w14:textId="77777777" w:rsidR="00CE30AB" w:rsidRDefault="00CE30AB" w:rsidP="00F66319">
            <w:r w:rsidRPr="007A1B6E">
              <w:t>Experiments in Science</w:t>
            </w:r>
          </w:p>
        </w:tc>
        <w:tc>
          <w:tcPr>
            <w:tcW w:w="2394" w:type="dxa"/>
          </w:tcPr>
          <w:p w14:paraId="1F186904" w14:textId="77777777" w:rsidR="00CE30AB" w:rsidRDefault="00CE30AB" w:rsidP="00F66319">
            <w:r>
              <w:t>2</w:t>
            </w:r>
          </w:p>
        </w:tc>
      </w:tr>
      <w:tr w:rsidR="00CE30AB" w14:paraId="0159040D" w14:textId="77777777" w:rsidTr="00F66319">
        <w:tc>
          <w:tcPr>
            <w:tcW w:w="1008" w:type="dxa"/>
          </w:tcPr>
          <w:p w14:paraId="2FD6FF4E" w14:textId="77777777" w:rsidR="00CE30AB" w:rsidRDefault="00CE30AB" w:rsidP="00F66319">
            <w:r>
              <w:t>5</w:t>
            </w:r>
          </w:p>
        </w:tc>
        <w:tc>
          <w:tcPr>
            <w:tcW w:w="3780" w:type="dxa"/>
          </w:tcPr>
          <w:p w14:paraId="660D266E" w14:textId="77777777" w:rsidR="00CE30AB" w:rsidRDefault="00CE30AB" w:rsidP="00F66319">
            <w:r w:rsidRPr="007A1B6E">
              <w:t>Biophysical aspects of Biochemistry</w:t>
            </w:r>
          </w:p>
        </w:tc>
        <w:tc>
          <w:tcPr>
            <w:tcW w:w="2394" w:type="dxa"/>
          </w:tcPr>
          <w:p w14:paraId="218834A9" w14:textId="77777777" w:rsidR="00CE30AB" w:rsidRDefault="00CE30AB" w:rsidP="00F66319">
            <w:r>
              <w:t>1</w:t>
            </w:r>
          </w:p>
        </w:tc>
      </w:tr>
      <w:tr w:rsidR="00CE30AB" w14:paraId="689E3FF3" w14:textId="77777777" w:rsidTr="00F66319">
        <w:tc>
          <w:tcPr>
            <w:tcW w:w="1008" w:type="dxa"/>
          </w:tcPr>
          <w:p w14:paraId="4EFD133B" w14:textId="77777777" w:rsidR="00CE30AB" w:rsidRDefault="00CE30AB" w:rsidP="00F66319">
            <w:r>
              <w:t>6</w:t>
            </w:r>
          </w:p>
        </w:tc>
        <w:tc>
          <w:tcPr>
            <w:tcW w:w="3780" w:type="dxa"/>
          </w:tcPr>
          <w:p w14:paraId="5DD7943A" w14:textId="77777777" w:rsidR="00CE30AB" w:rsidRDefault="00CE30AB" w:rsidP="00F66319">
            <w:r w:rsidRPr="007A1B6E">
              <w:t>Introduction to Biomolecules</w:t>
            </w:r>
          </w:p>
        </w:tc>
        <w:tc>
          <w:tcPr>
            <w:tcW w:w="2394" w:type="dxa"/>
          </w:tcPr>
          <w:p w14:paraId="325E598D" w14:textId="77777777" w:rsidR="00CE30AB" w:rsidRDefault="00CE30AB" w:rsidP="00F66319">
            <w:r>
              <w:t>2</w:t>
            </w:r>
          </w:p>
        </w:tc>
      </w:tr>
      <w:tr w:rsidR="00CE30AB" w14:paraId="34B53B6D" w14:textId="77777777" w:rsidTr="00F66319">
        <w:tc>
          <w:tcPr>
            <w:tcW w:w="1008" w:type="dxa"/>
          </w:tcPr>
          <w:p w14:paraId="1A08434B" w14:textId="77777777" w:rsidR="00CE30AB" w:rsidRDefault="00CE30AB" w:rsidP="00F66319">
            <w:r>
              <w:t>7</w:t>
            </w:r>
          </w:p>
        </w:tc>
        <w:tc>
          <w:tcPr>
            <w:tcW w:w="3780" w:type="dxa"/>
          </w:tcPr>
          <w:p w14:paraId="4A0A4AF2" w14:textId="77777777" w:rsidR="00CE30AB" w:rsidRDefault="00CE30AB" w:rsidP="00F66319">
            <w:r w:rsidRPr="007A1B6E">
              <w:t xml:space="preserve">Introduction to Laboratory and Lab </w:t>
            </w:r>
            <w:proofErr w:type="spellStart"/>
            <w:r w:rsidRPr="007A1B6E">
              <w:t>equipments</w:t>
            </w:r>
            <w:proofErr w:type="spellEnd"/>
          </w:p>
        </w:tc>
        <w:tc>
          <w:tcPr>
            <w:tcW w:w="2394" w:type="dxa"/>
          </w:tcPr>
          <w:p w14:paraId="07E9F052" w14:textId="77777777" w:rsidR="00CE30AB" w:rsidRDefault="00CE30AB" w:rsidP="00F66319">
            <w:r>
              <w:t>1</w:t>
            </w:r>
          </w:p>
        </w:tc>
      </w:tr>
      <w:tr w:rsidR="00CE30AB" w14:paraId="1CB3A008" w14:textId="77777777" w:rsidTr="00F66319">
        <w:tc>
          <w:tcPr>
            <w:tcW w:w="1008" w:type="dxa"/>
          </w:tcPr>
          <w:p w14:paraId="27B5A2EF" w14:textId="77777777" w:rsidR="00CE30AB" w:rsidRDefault="00CE30AB" w:rsidP="00F66319">
            <w:r>
              <w:t>8</w:t>
            </w:r>
          </w:p>
        </w:tc>
        <w:tc>
          <w:tcPr>
            <w:tcW w:w="3780" w:type="dxa"/>
          </w:tcPr>
          <w:p w14:paraId="7E387899" w14:textId="77777777" w:rsidR="00CE30AB" w:rsidRDefault="00CE30AB" w:rsidP="00F66319">
            <w:r w:rsidRPr="007A1B6E">
              <w:t>Lab Safety Rules</w:t>
            </w:r>
          </w:p>
        </w:tc>
        <w:tc>
          <w:tcPr>
            <w:tcW w:w="2394" w:type="dxa"/>
          </w:tcPr>
          <w:p w14:paraId="57777440" w14:textId="77777777" w:rsidR="00CE30AB" w:rsidRDefault="00CE30AB" w:rsidP="00F66319">
            <w:r>
              <w:t>1</w:t>
            </w:r>
          </w:p>
        </w:tc>
      </w:tr>
      <w:tr w:rsidR="00CE30AB" w14:paraId="6E081B59" w14:textId="77777777" w:rsidTr="00F66319">
        <w:trPr>
          <w:trHeight w:val="575"/>
        </w:trPr>
        <w:tc>
          <w:tcPr>
            <w:tcW w:w="1008" w:type="dxa"/>
          </w:tcPr>
          <w:p w14:paraId="320F1226" w14:textId="77777777" w:rsidR="00CE30AB" w:rsidRDefault="00CE30AB" w:rsidP="00F66319">
            <w:r>
              <w:t>9</w:t>
            </w:r>
          </w:p>
        </w:tc>
        <w:tc>
          <w:tcPr>
            <w:tcW w:w="3780" w:type="dxa"/>
          </w:tcPr>
          <w:p w14:paraId="0737FAF9" w14:textId="77777777" w:rsidR="00CE30AB" w:rsidRDefault="00CE30AB" w:rsidP="00F66319">
            <w:r w:rsidRPr="007A1B6E">
              <w:t>Basics of Computer</w:t>
            </w:r>
          </w:p>
        </w:tc>
        <w:tc>
          <w:tcPr>
            <w:tcW w:w="2394" w:type="dxa"/>
          </w:tcPr>
          <w:p w14:paraId="09A3DAA8" w14:textId="77777777" w:rsidR="00CE30AB" w:rsidRDefault="00CE30AB" w:rsidP="00F66319">
            <w:r>
              <w:t>1</w:t>
            </w:r>
          </w:p>
        </w:tc>
      </w:tr>
      <w:tr w:rsidR="00CE30AB" w14:paraId="03C0FE60" w14:textId="77777777" w:rsidTr="00F66319">
        <w:trPr>
          <w:trHeight w:val="575"/>
        </w:trPr>
        <w:tc>
          <w:tcPr>
            <w:tcW w:w="1008" w:type="dxa"/>
          </w:tcPr>
          <w:p w14:paraId="480E07A3" w14:textId="77777777" w:rsidR="00CE30AB" w:rsidRDefault="00CE30AB" w:rsidP="00F66319">
            <w:r>
              <w:t>10</w:t>
            </w:r>
          </w:p>
        </w:tc>
        <w:tc>
          <w:tcPr>
            <w:tcW w:w="3780" w:type="dxa"/>
          </w:tcPr>
          <w:p w14:paraId="5D47DE0A" w14:textId="77777777" w:rsidR="00CE30AB" w:rsidRPr="007A1B6E" w:rsidRDefault="00CE30AB" w:rsidP="00F66319">
            <w:r w:rsidRPr="007A1B6E">
              <w:t>How to use Library facilities</w:t>
            </w:r>
          </w:p>
        </w:tc>
        <w:tc>
          <w:tcPr>
            <w:tcW w:w="2394" w:type="dxa"/>
          </w:tcPr>
          <w:p w14:paraId="291E2011" w14:textId="77777777" w:rsidR="00CE30AB" w:rsidRDefault="00CE30AB" w:rsidP="00F66319">
            <w:r>
              <w:t>1</w:t>
            </w:r>
          </w:p>
        </w:tc>
      </w:tr>
    </w:tbl>
    <w:p w14:paraId="6E384021" w14:textId="77777777" w:rsidR="00CE30AB" w:rsidRDefault="00CE30AB" w:rsidP="00733CAA">
      <w:pPr>
        <w:rPr>
          <w:rFonts w:ascii="Times New Roman" w:hAnsi="Times New Roman" w:cs="Times New Roman"/>
          <w:sz w:val="24"/>
          <w:szCs w:val="24"/>
        </w:rPr>
      </w:pPr>
    </w:p>
    <w:p w14:paraId="0D9545EB" w14:textId="77777777" w:rsidR="003C1B46" w:rsidRDefault="003C1B46"/>
    <w:sectPr w:rsidR="003C1B4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CAA"/>
    <w:rsid w:val="003C1B46"/>
    <w:rsid w:val="00711C48"/>
    <w:rsid w:val="00733CAA"/>
    <w:rsid w:val="00CE30A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38DD6"/>
  <w15:chartTrackingRefBased/>
  <w15:docId w15:val="{40295BAC-6417-4C37-990B-D2DBD65E9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3CAA"/>
    <w:pPr>
      <w:spacing w:after="200" w:line="276" w:lineRule="auto"/>
    </w:pPr>
    <w:rPr>
      <w:rFonts w:eastAsiaTheme="minorEastAsia"/>
      <w:lang w:val="en-US"/>
    </w:rPr>
  </w:style>
  <w:style w:type="paragraph" w:styleId="Heading1">
    <w:name w:val="heading 1"/>
    <w:basedOn w:val="Normal"/>
    <w:next w:val="Normal"/>
    <w:link w:val="Heading1Char"/>
    <w:uiPriority w:val="9"/>
    <w:qFormat/>
    <w:rsid w:val="00711C48"/>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link w:val="TitleChar"/>
    <w:uiPriority w:val="10"/>
    <w:rsid w:val="00711C48"/>
    <w:pPr>
      <w:spacing w:line="240" w:lineRule="auto"/>
      <w:contextualSpacing/>
    </w:pPr>
    <w:rPr>
      <w:rFonts w:ascii="Yu Gothic UI Semilight" w:hAnsi="Yu Gothic UI Semilight"/>
      <w:spacing w:val="-10"/>
      <w:kern w:val="28"/>
      <w:sz w:val="56"/>
      <w:szCs w:val="56"/>
    </w:rPr>
  </w:style>
  <w:style w:type="character" w:customStyle="1" w:styleId="TitleChar">
    <w:name w:val="Title Char"/>
    <w:basedOn w:val="DefaultParagraphFont"/>
    <w:link w:val="Title"/>
    <w:uiPriority w:val="10"/>
    <w:rsid w:val="00711C48"/>
    <w:rPr>
      <w:rFonts w:ascii="Yu Gothic UI Semilight" w:eastAsiaTheme="majorEastAsia" w:hAnsi="Yu Gothic UI Semilight" w:cstheme="majorBidi"/>
      <w:color w:val="2F5496" w:themeColor="accent1" w:themeShade="BF"/>
      <w:spacing w:val="-10"/>
      <w:kern w:val="28"/>
      <w:sz w:val="56"/>
      <w:szCs w:val="56"/>
    </w:rPr>
  </w:style>
  <w:style w:type="character" w:customStyle="1" w:styleId="Heading1Char">
    <w:name w:val="Heading 1 Char"/>
    <w:basedOn w:val="DefaultParagraphFont"/>
    <w:link w:val="Heading1"/>
    <w:uiPriority w:val="9"/>
    <w:rsid w:val="00711C4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CE30AB"/>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cp:revision>
  <dcterms:created xsi:type="dcterms:W3CDTF">2024-12-04T06:57:00Z</dcterms:created>
  <dcterms:modified xsi:type="dcterms:W3CDTF">2024-12-04T07:00:00Z</dcterms:modified>
</cp:coreProperties>
</file>